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A9E" w:rsidRPr="00581499" w:rsidRDefault="00B41A9E" w:rsidP="00B41A9E">
      <w:pPr>
        <w:pStyle w:val="Heading1"/>
        <w:jc w:val="both"/>
      </w:pPr>
      <w:bookmarkStart w:id="0" w:name="_Toc143821480"/>
      <w:r w:rsidRPr="00581499">
        <w:rPr>
          <w:sz w:val="24"/>
          <w:szCs w:val="24"/>
        </w:rPr>
        <w:t>SINH THIẾT KHỚP,</w:t>
      </w:r>
      <w:r w:rsidRPr="00581499">
        <w:t xml:space="preserve"> </w:t>
      </w:r>
      <w:r w:rsidRPr="00581499">
        <w:rPr>
          <w:b w:val="0"/>
          <w:bCs/>
        </w:rPr>
        <w:t>kỹ thuật y học lấy mẫu niêm mạc màng hoạt dịch hoặc sụn khớp để làm xét nghiệm, nhằm xác định chẩn đoán nguyên nhân gây sưng, đau khớp trong những trường hợp chẩn đoán khó khăn.</w:t>
      </w:r>
      <w:bookmarkEnd w:id="0"/>
      <w:r w:rsidRPr="00581499">
        <w:t xml:space="preserve"> </w:t>
      </w:r>
    </w:p>
    <w:p w:rsidR="00B41A9E" w:rsidRPr="008B25B4" w:rsidRDefault="00B41A9E" w:rsidP="00B41A9E">
      <w:pPr>
        <w:tabs>
          <w:tab w:val="left" w:pos="567"/>
        </w:tabs>
        <w:spacing w:before="120" w:after="0"/>
        <w:contextualSpacing/>
        <w:rPr>
          <w:sz w:val="28"/>
          <w:szCs w:val="28"/>
          <w:lang w:val="es-ES"/>
        </w:rPr>
      </w:pPr>
      <w:r w:rsidRPr="008B25B4">
        <w:rPr>
          <w:sz w:val="28"/>
          <w:szCs w:val="28"/>
          <w:lang w:val="es-ES"/>
        </w:rPr>
        <w:t>STK</w:t>
      </w:r>
      <w:r w:rsidRPr="00581499">
        <w:rPr>
          <w:sz w:val="28"/>
          <w:szCs w:val="28"/>
          <w:lang w:val="vi-VN"/>
        </w:rPr>
        <w:t xml:space="preserve"> </w:t>
      </w:r>
      <w:r w:rsidRPr="008B25B4">
        <w:rPr>
          <w:sz w:val="28"/>
          <w:szCs w:val="28"/>
          <w:lang w:val="es-ES"/>
        </w:rPr>
        <w:t>phải được thực hiện tại các bệnh viện, phòng khám y tế</w:t>
      </w:r>
      <w:r w:rsidRPr="00581499">
        <w:rPr>
          <w:sz w:val="28"/>
          <w:szCs w:val="28"/>
          <w:lang w:val="vi-VN"/>
        </w:rPr>
        <w:t xml:space="preserve"> </w:t>
      </w:r>
      <w:r w:rsidRPr="008B25B4">
        <w:rPr>
          <w:sz w:val="28"/>
          <w:szCs w:val="28"/>
          <w:lang w:val="es-ES"/>
        </w:rPr>
        <w:t>trong điều kiện vô trùng để hạn chế nguy cơ nhiễm khuẩn</w:t>
      </w:r>
      <w:r w:rsidRPr="00581499">
        <w:rPr>
          <w:sz w:val="28"/>
          <w:szCs w:val="28"/>
          <w:lang w:val="vi-VN"/>
        </w:rPr>
        <w:t xml:space="preserve">, </w:t>
      </w:r>
      <w:r w:rsidRPr="008B25B4">
        <w:rPr>
          <w:sz w:val="28"/>
          <w:szCs w:val="28"/>
          <w:lang w:val="es-ES"/>
        </w:rPr>
        <w:t xml:space="preserve">nhằm chẩn đoán nhiễm trùng khớp do vi khuẩn, nấm, sự tích tụ bất thường của sắt, ung thư hoặc các bệnh khác. </w:t>
      </w:r>
    </w:p>
    <w:p w:rsidR="00B41A9E" w:rsidRPr="008B25B4" w:rsidRDefault="00B41A9E" w:rsidP="00B41A9E">
      <w:pPr>
        <w:tabs>
          <w:tab w:val="left" w:pos="567"/>
        </w:tabs>
        <w:spacing w:before="120" w:after="0"/>
        <w:contextualSpacing/>
        <w:rPr>
          <w:sz w:val="28"/>
          <w:szCs w:val="28"/>
          <w:lang w:val="es-ES"/>
        </w:rPr>
      </w:pPr>
      <w:r w:rsidRPr="008B25B4">
        <w:rPr>
          <w:sz w:val="28"/>
          <w:szCs w:val="28"/>
          <w:lang w:val="es-ES"/>
        </w:rPr>
        <w:t>Có nhiều phương pháp khác nhau để tiến hành STK</w:t>
      </w:r>
      <w:r w:rsidRPr="00581499">
        <w:rPr>
          <w:sz w:val="28"/>
          <w:szCs w:val="28"/>
          <w:lang w:val="vi-VN"/>
        </w:rPr>
        <w:t>:</w:t>
      </w:r>
      <w:r w:rsidRPr="008B25B4">
        <w:rPr>
          <w:sz w:val="28"/>
          <w:szCs w:val="28"/>
          <w:lang w:val="es-ES"/>
        </w:rPr>
        <w:t xml:space="preserve"> (1) Thông qua một vết mổ để vào khớp; (2) Tiến hành với một ống nội soi đưa vào khớp;</w:t>
      </w:r>
      <w:r w:rsidRPr="00581499">
        <w:rPr>
          <w:sz w:val="28"/>
          <w:szCs w:val="28"/>
          <w:lang w:val="vi-VN"/>
        </w:rPr>
        <w:t xml:space="preserve"> </w:t>
      </w:r>
      <w:r w:rsidRPr="008B25B4">
        <w:rPr>
          <w:sz w:val="28"/>
          <w:szCs w:val="28"/>
          <w:lang w:val="es-ES"/>
        </w:rPr>
        <w:t>(3) Đưa một dụng cụ sắc nhọn qua da vào khớp</w:t>
      </w:r>
      <w:r w:rsidRPr="00581499">
        <w:rPr>
          <w:sz w:val="28"/>
          <w:szCs w:val="28"/>
          <w:lang w:val="vi-VN"/>
        </w:rPr>
        <w:t>, đây là phương pháp truyền thống.</w:t>
      </w:r>
    </w:p>
    <w:p w:rsidR="00B41A9E" w:rsidRPr="008B25B4" w:rsidRDefault="00B41A9E" w:rsidP="00B41A9E">
      <w:pPr>
        <w:tabs>
          <w:tab w:val="left" w:pos="567"/>
        </w:tabs>
        <w:spacing w:before="120" w:after="0"/>
        <w:contextualSpacing/>
        <w:rPr>
          <w:sz w:val="28"/>
          <w:szCs w:val="28"/>
          <w:lang w:val="es-ES"/>
        </w:rPr>
      </w:pPr>
      <w:r w:rsidRPr="008B25B4">
        <w:rPr>
          <w:sz w:val="28"/>
          <w:szCs w:val="28"/>
          <w:lang w:val="es-ES"/>
        </w:rPr>
        <w:t>Thủ thuật trên có thể thực hiện ở bất kỳ khớp nào nhưng phổ biến nhất là khớp gối. Một ống kim loại có đầu sắc nhọn (trocar) được đưa vào khớp (là nơi 2 xương nối với nhau). Có thể đưa một bơm kim tiêm đi kèm để hút dịch khớp làm xét nghiệm. Bác sĩ có thể gây tê khớp tại vị trí chọc kim trước khi đưa kim vào. Sau đó đưa kim sinh thiết vào và lấy bệnh phẩm. Sau khi lấy mẫu bệnh phẩm xong, cả trocar và kim sinh thiết đều được lấy ra, vết mổ được băng lại và mẫu bệnh phẩm được đưa đi làm xét nghiệm mô bệnh học (nghiên cứu những biến đổi bất thường trong tế bào hoặc mô để phát hiện dấu hiệu bệnh lý).</w:t>
      </w:r>
    </w:p>
    <w:p w:rsidR="00B41A9E" w:rsidRPr="008B25B4" w:rsidRDefault="00B41A9E" w:rsidP="00B41A9E">
      <w:pPr>
        <w:shd w:val="clear" w:color="auto" w:fill="FFFFFF"/>
        <w:tabs>
          <w:tab w:val="left" w:pos="567"/>
          <w:tab w:val="left" w:pos="990"/>
        </w:tabs>
        <w:spacing w:before="120" w:after="0"/>
        <w:contextualSpacing/>
        <w:textAlignment w:val="top"/>
        <w:rPr>
          <w:sz w:val="28"/>
          <w:szCs w:val="28"/>
          <w:lang w:val="es-ES"/>
        </w:rPr>
      </w:pPr>
      <w:r w:rsidRPr="00581499">
        <w:rPr>
          <w:b/>
          <w:bCs/>
          <w:sz w:val="28"/>
          <w:szCs w:val="28"/>
          <w:lang w:val="vi-VN"/>
        </w:rPr>
        <w:t>Chuẩn bị</w:t>
      </w:r>
      <w:r w:rsidRPr="008B25B4">
        <w:rPr>
          <w:b/>
          <w:bCs/>
          <w:sz w:val="28"/>
          <w:szCs w:val="28"/>
          <w:lang w:val="es-ES"/>
        </w:rPr>
        <w:t xml:space="preserve">: </w:t>
      </w:r>
      <w:r w:rsidRPr="008B25B4">
        <w:rPr>
          <w:sz w:val="28"/>
          <w:szCs w:val="28"/>
          <w:lang w:val="es-ES"/>
        </w:rPr>
        <w:t>trước hết phải xét nghiệm máu để kiểm tra xem chức năng đông, cầm máu có bình thường hay không. Có thể dùng thuốc an thần nhẹ trước khi làm thủ thuật. Khi bệnh nhân nằm xuống, tiến hành sát trùng và gây tê tại chỗ ở vùng khớp làm thủ thuật.</w:t>
      </w:r>
    </w:p>
    <w:p w:rsidR="00B41A9E" w:rsidRPr="008B25B4" w:rsidRDefault="00B41A9E" w:rsidP="00B41A9E">
      <w:pPr>
        <w:shd w:val="clear" w:color="auto" w:fill="FFFFFF"/>
        <w:tabs>
          <w:tab w:val="left" w:pos="567"/>
          <w:tab w:val="left" w:pos="990"/>
        </w:tabs>
        <w:spacing w:before="120" w:after="0"/>
        <w:contextualSpacing/>
        <w:textAlignment w:val="top"/>
        <w:rPr>
          <w:sz w:val="28"/>
          <w:szCs w:val="28"/>
          <w:lang w:val="es-ES"/>
        </w:rPr>
      </w:pPr>
      <w:r w:rsidRPr="008B25B4">
        <w:rPr>
          <w:b/>
          <w:bCs/>
          <w:sz w:val="28"/>
          <w:szCs w:val="28"/>
          <w:lang w:val="es-ES"/>
        </w:rPr>
        <w:t xml:space="preserve">Chăm sóc: </w:t>
      </w:r>
      <w:r w:rsidRPr="00581499">
        <w:rPr>
          <w:bCs/>
          <w:sz w:val="28"/>
          <w:szCs w:val="28"/>
          <w:lang w:val="vi-VN"/>
        </w:rPr>
        <w:t>Sau khi làm thủ thuật</w:t>
      </w:r>
      <w:r w:rsidRPr="008B25B4">
        <w:rPr>
          <w:bCs/>
          <w:sz w:val="28"/>
          <w:szCs w:val="28"/>
          <w:lang w:val="es-ES"/>
        </w:rPr>
        <w:t xml:space="preserve">, </w:t>
      </w:r>
      <w:r w:rsidRPr="008B25B4">
        <w:rPr>
          <w:sz w:val="28"/>
          <w:szCs w:val="28"/>
          <w:lang w:val="es-ES"/>
        </w:rPr>
        <w:t>khớp cần phải bất động ít nhất 1 ngày và có thể hoạt động lại bình thường nếu như không có hiện tượng đau hoặc sưng nề tăng lên.</w:t>
      </w:r>
    </w:p>
    <w:p w:rsidR="00B41A9E" w:rsidRPr="008B25B4" w:rsidRDefault="00B41A9E" w:rsidP="00B41A9E">
      <w:pPr>
        <w:shd w:val="clear" w:color="auto" w:fill="FFFFFF"/>
        <w:tabs>
          <w:tab w:val="left" w:pos="567"/>
          <w:tab w:val="left" w:pos="990"/>
        </w:tabs>
        <w:spacing w:before="120" w:after="0"/>
        <w:contextualSpacing/>
        <w:textAlignment w:val="top"/>
        <w:rPr>
          <w:sz w:val="28"/>
          <w:szCs w:val="28"/>
          <w:lang w:val="es-ES"/>
        </w:rPr>
      </w:pPr>
      <w:r w:rsidRPr="00581499">
        <w:rPr>
          <w:b/>
          <w:bCs/>
          <w:sz w:val="28"/>
          <w:szCs w:val="28"/>
          <w:lang w:val="vi-VN"/>
        </w:rPr>
        <w:t>Tai biến, biến chứng</w:t>
      </w:r>
      <w:r w:rsidRPr="008B25B4">
        <w:rPr>
          <w:b/>
          <w:bCs/>
          <w:sz w:val="28"/>
          <w:szCs w:val="28"/>
          <w:lang w:val="es-ES"/>
        </w:rPr>
        <w:t>:</w:t>
      </w:r>
      <w:r w:rsidRPr="008B25B4">
        <w:rPr>
          <w:sz w:val="28"/>
          <w:szCs w:val="28"/>
          <w:lang w:val="es-ES"/>
        </w:rPr>
        <w:t xml:space="preserve"> Khớp có thể bị đau hoặc sưng nề. Một số ít trường hợp có thể chảy máu và nhiễm trùng trong khớp, hay kim sinh thiết có thể bị đứt hoặc đâm vào dây thần kinh, mạch máu. Nguy cơ nhiễm trùng càng cao nếu bệnh nhân bị suy giảm miễn dịch.</w:t>
      </w:r>
    </w:p>
    <w:p w:rsidR="00B41A9E" w:rsidRPr="008B25B4" w:rsidRDefault="00B41A9E" w:rsidP="00B41A9E">
      <w:pPr>
        <w:shd w:val="clear" w:color="auto" w:fill="FFFFFF"/>
        <w:tabs>
          <w:tab w:val="left" w:pos="567"/>
          <w:tab w:val="left" w:pos="990"/>
        </w:tabs>
        <w:spacing w:before="120" w:after="0"/>
        <w:contextualSpacing/>
        <w:textAlignment w:val="top"/>
        <w:rPr>
          <w:sz w:val="28"/>
          <w:szCs w:val="28"/>
          <w:lang w:val="es-ES"/>
        </w:rPr>
      </w:pPr>
    </w:p>
    <w:p w:rsidR="00B41A9E" w:rsidRPr="008B25B4" w:rsidRDefault="00B41A9E" w:rsidP="00B41A9E">
      <w:pPr>
        <w:spacing w:after="0"/>
        <w:contextualSpacing/>
        <w:jc w:val="right"/>
        <w:rPr>
          <w:b/>
          <w:sz w:val="20"/>
          <w:szCs w:val="20"/>
          <w:lang w:val="es-ES"/>
        </w:rPr>
      </w:pPr>
      <w:r w:rsidRPr="008B25B4">
        <w:rPr>
          <w:b/>
          <w:sz w:val="20"/>
          <w:szCs w:val="20"/>
          <w:lang w:val="es-ES"/>
        </w:rPr>
        <w:t>NGUYỄN MINH NÚI</w:t>
      </w:r>
    </w:p>
    <w:p w:rsidR="00B41A9E" w:rsidRPr="00581499" w:rsidRDefault="00B41A9E" w:rsidP="00B41A9E">
      <w:pPr>
        <w:shd w:val="clear" w:color="auto" w:fill="FFFFFF"/>
        <w:tabs>
          <w:tab w:val="left" w:pos="0"/>
        </w:tabs>
        <w:spacing w:after="0"/>
        <w:contextualSpacing/>
        <w:textAlignment w:val="top"/>
        <w:rPr>
          <w:b/>
          <w:bCs/>
          <w:lang w:val="vi-VN"/>
        </w:rPr>
      </w:pPr>
      <w:r w:rsidRPr="00581499">
        <w:rPr>
          <w:b/>
          <w:bCs/>
          <w:lang w:val="vi-VN"/>
        </w:rPr>
        <w:t>Tài liệu tham khảo</w:t>
      </w:r>
    </w:p>
    <w:p w:rsidR="00B41A9E" w:rsidRPr="00581499" w:rsidRDefault="00B41A9E" w:rsidP="00B41A9E">
      <w:pPr>
        <w:pStyle w:val="ListParagraph"/>
        <w:numPr>
          <w:ilvl w:val="0"/>
          <w:numId w:val="1"/>
        </w:numPr>
        <w:shd w:val="clear" w:color="auto" w:fill="FFFFFF"/>
        <w:tabs>
          <w:tab w:val="left" w:pos="0"/>
          <w:tab w:val="left" w:pos="284"/>
        </w:tabs>
        <w:spacing w:after="0" w:line="276" w:lineRule="auto"/>
        <w:ind w:left="0" w:firstLine="0"/>
        <w:jc w:val="left"/>
        <w:textAlignment w:val="top"/>
        <w:rPr>
          <w:sz w:val="24"/>
          <w:szCs w:val="24"/>
        </w:rPr>
      </w:pPr>
      <w:r w:rsidRPr="00581499">
        <w:rPr>
          <w:sz w:val="24"/>
          <w:szCs w:val="24"/>
        </w:rPr>
        <w:t>Grin, Caron</w:t>
      </w:r>
      <w:r w:rsidRPr="00581499">
        <w:rPr>
          <w:sz w:val="24"/>
          <w:szCs w:val="24"/>
          <w:lang w:val="vi-VN"/>
        </w:rPr>
        <w:t>,</w:t>
      </w:r>
      <w:r w:rsidRPr="00581499">
        <w:rPr>
          <w:sz w:val="24"/>
          <w:szCs w:val="24"/>
        </w:rPr>
        <w:t xml:space="preserve"> </w:t>
      </w:r>
      <w:r w:rsidRPr="00581499">
        <w:rPr>
          <w:i/>
          <w:iCs/>
          <w:sz w:val="24"/>
          <w:szCs w:val="24"/>
        </w:rPr>
        <w:t>Tinea: Diagnostic Clues, treatment Keys</w:t>
      </w:r>
      <w:r w:rsidRPr="00581499">
        <w:rPr>
          <w:sz w:val="24"/>
          <w:szCs w:val="24"/>
        </w:rPr>
        <w:t>, Consultant (February 2004): 214-216.</w:t>
      </w:r>
    </w:p>
    <w:p w:rsidR="00B41A9E" w:rsidRPr="00581499" w:rsidRDefault="00B41A9E" w:rsidP="00B41A9E">
      <w:pPr>
        <w:pStyle w:val="ListParagraph"/>
        <w:numPr>
          <w:ilvl w:val="0"/>
          <w:numId w:val="1"/>
        </w:numPr>
        <w:shd w:val="clear" w:color="auto" w:fill="FFFFFF"/>
        <w:tabs>
          <w:tab w:val="left" w:pos="0"/>
          <w:tab w:val="left" w:pos="284"/>
        </w:tabs>
        <w:spacing w:after="0" w:line="276" w:lineRule="auto"/>
        <w:ind w:left="0" w:firstLine="0"/>
        <w:jc w:val="left"/>
        <w:textAlignment w:val="top"/>
        <w:rPr>
          <w:sz w:val="24"/>
          <w:szCs w:val="24"/>
        </w:rPr>
      </w:pPr>
      <w:r w:rsidRPr="00581499">
        <w:rPr>
          <w:sz w:val="24"/>
          <w:szCs w:val="24"/>
        </w:rPr>
        <w:t>Jock Itch</w:t>
      </w:r>
      <w:r w:rsidRPr="00581499">
        <w:rPr>
          <w:sz w:val="24"/>
          <w:szCs w:val="24"/>
          <w:lang w:val="vi-VN"/>
        </w:rPr>
        <w:t xml:space="preserve">, </w:t>
      </w:r>
      <w:r w:rsidRPr="00581499">
        <w:rPr>
          <w:i/>
          <w:iCs/>
          <w:sz w:val="24"/>
          <w:szCs w:val="24"/>
        </w:rPr>
        <w:t>Clinical Reference Systems</w:t>
      </w:r>
      <w:r w:rsidRPr="00581499">
        <w:rPr>
          <w:i/>
          <w:iCs/>
          <w:sz w:val="24"/>
          <w:szCs w:val="24"/>
          <w:lang w:val="vi-VN"/>
        </w:rPr>
        <w:t>,</w:t>
      </w:r>
      <w:r w:rsidRPr="00581499">
        <w:rPr>
          <w:sz w:val="24"/>
          <w:szCs w:val="24"/>
        </w:rPr>
        <w:t xml:space="preserve"> (January 1, 2004)”: 1959.</w:t>
      </w:r>
    </w:p>
    <w:p w:rsidR="00B41A9E" w:rsidRPr="00581499" w:rsidRDefault="00B41A9E" w:rsidP="00B41A9E">
      <w:pPr>
        <w:pStyle w:val="ListParagraph"/>
        <w:numPr>
          <w:ilvl w:val="0"/>
          <w:numId w:val="1"/>
        </w:numPr>
        <w:shd w:val="clear" w:color="auto" w:fill="FFFFFF"/>
        <w:tabs>
          <w:tab w:val="left" w:pos="0"/>
          <w:tab w:val="left" w:pos="284"/>
        </w:tabs>
        <w:spacing w:after="0" w:line="276" w:lineRule="auto"/>
        <w:ind w:left="0" w:firstLine="0"/>
        <w:jc w:val="left"/>
        <w:textAlignment w:val="top"/>
        <w:rPr>
          <w:sz w:val="24"/>
          <w:szCs w:val="24"/>
        </w:rPr>
      </w:pPr>
      <w:r w:rsidRPr="00581499">
        <w:rPr>
          <w:sz w:val="24"/>
          <w:szCs w:val="24"/>
        </w:rPr>
        <w:t>Schmitt, B.D</w:t>
      </w:r>
      <w:r w:rsidRPr="00581499">
        <w:rPr>
          <w:sz w:val="24"/>
          <w:szCs w:val="24"/>
          <w:lang w:val="vi-VN"/>
        </w:rPr>
        <w:t xml:space="preserve">, </w:t>
      </w:r>
      <w:r w:rsidRPr="00581499">
        <w:rPr>
          <w:i/>
          <w:iCs/>
          <w:sz w:val="24"/>
          <w:szCs w:val="24"/>
        </w:rPr>
        <w:t>Jock Itch for Teenagers</w:t>
      </w:r>
      <w:r w:rsidRPr="00581499">
        <w:rPr>
          <w:sz w:val="24"/>
          <w:szCs w:val="24"/>
          <w:lang w:val="vi-VN"/>
        </w:rPr>
        <w:t>,</w:t>
      </w:r>
      <w:r w:rsidRPr="00581499">
        <w:rPr>
          <w:sz w:val="24"/>
          <w:szCs w:val="24"/>
        </w:rPr>
        <w:t xml:space="preserve"> Clinical Reference Systems (January 1, 2004): 1858.</w:t>
      </w:r>
    </w:p>
    <w:p w:rsidR="00B41A9E" w:rsidRPr="00581499" w:rsidRDefault="00B41A9E" w:rsidP="00B41A9E">
      <w:pPr>
        <w:shd w:val="clear" w:color="auto" w:fill="FFFFFF"/>
        <w:tabs>
          <w:tab w:val="left" w:pos="990"/>
        </w:tabs>
        <w:spacing w:after="0"/>
        <w:contextualSpacing/>
        <w:textAlignment w:val="top"/>
        <w:rPr>
          <w:b/>
          <w:bCs/>
          <w:lang w:val="vi-VN"/>
        </w:rPr>
      </w:pPr>
    </w:p>
    <w:p w:rsidR="00F349B9" w:rsidRDefault="00F349B9" w:rsidP="00B41A9E">
      <w:pPr>
        <w:ind w:firstLine="0"/>
      </w:pPr>
      <w:bookmarkStart w:id="1" w:name="_GoBack"/>
      <w:bookmarkEnd w:id="1"/>
    </w:p>
    <w:sectPr w:rsidR="00F349B9" w:rsidSect="009F615C">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63EB8"/>
    <w:multiLevelType w:val="hybridMultilevel"/>
    <w:tmpl w:val="9D0663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DB0"/>
    <w:rsid w:val="005A64A0"/>
    <w:rsid w:val="009F615C"/>
    <w:rsid w:val="00B41A9E"/>
    <w:rsid w:val="00F349B9"/>
    <w:rsid w:val="00FB0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85D80"/>
  <w15:chartTrackingRefBased/>
  <w15:docId w15:val="{241F55D2-7EBA-464B-B802-B1C41F44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A9E"/>
    <w:pPr>
      <w:spacing w:after="120" w:line="360" w:lineRule="auto"/>
      <w:ind w:firstLine="720"/>
      <w:jc w:val="both"/>
    </w:pPr>
    <w:rPr>
      <w:rFonts w:eastAsia="Times New Roman" w:cs="Times New Roman"/>
      <w:sz w:val="24"/>
      <w:szCs w:val="24"/>
    </w:rPr>
  </w:style>
  <w:style w:type="paragraph" w:styleId="Heading1">
    <w:name w:val="heading 1"/>
    <w:basedOn w:val="Normal"/>
    <w:next w:val="Normal"/>
    <w:link w:val="Heading1Char"/>
    <w:uiPriority w:val="9"/>
    <w:qFormat/>
    <w:rsid w:val="00B41A9E"/>
    <w:pPr>
      <w:spacing w:after="0"/>
      <w:ind w:firstLine="0"/>
      <w:jc w:val="center"/>
      <w:outlineLvl w:val="0"/>
    </w:pPr>
    <w:rPr>
      <w:rFonts w:eastAsia="Calibri"/>
      <w:b/>
      <w:sz w:val="28"/>
      <w:szCs w:val="28"/>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A9E"/>
    <w:rPr>
      <w:rFonts w:eastAsia="Calibri" w:cs="Times New Roman"/>
      <w:b/>
      <w:szCs w:val="28"/>
      <w:lang w:val="es-ES"/>
    </w:rPr>
  </w:style>
  <w:style w:type="paragraph" w:styleId="ListParagraph">
    <w:name w:val="List Paragraph"/>
    <w:aliases w:val="gach ngang"/>
    <w:basedOn w:val="Normal"/>
    <w:link w:val="ListParagraphChar"/>
    <w:uiPriority w:val="34"/>
    <w:qFormat/>
    <w:rsid w:val="00B41A9E"/>
    <w:pPr>
      <w:ind w:left="720"/>
      <w:contextualSpacing/>
    </w:pPr>
    <w:rPr>
      <w:rFonts w:eastAsia="Calibri"/>
      <w:sz w:val="28"/>
      <w:szCs w:val="22"/>
      <w:lang w:val="x-none" w:eastAsia="x-none"/>
    </w:rPr>
  </w:style>
  <w:style w:type="character" w:customStyle="1" w:styleId="ListParagraphChar">
    <w:name w:val="List Paragraph Char"/>
    <w:aliases w:val="gach ngang Char"/>
    <w:link w:val="ListParagraph"/>
    <w:uiPriority w:val="34"/>
    <w:qFormat/>
    <w:locked/>
    <w:rsid w:val="00B41A9E"/>
    <w:rPr>
      <w:rFonts w:eastAsia="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1867</Characters>
  <Application>Microsoft Office Word</Application>
  <DocSecurity>0</DocSecurity>
  <Lines>15</Lines>
  <Paragraphs>4</Paragraphs>
  <ScaleCrop>false</ScaleCrop>
  <Company>Microsoft</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2026-04-22T09:52:00Z</dcterms:created>
  <dcterms:modified xsi:type="dcterms:W3CDTF">2026-04-22T09:52:00Z</dcterms:modified>
</cp:coreProperties>
</file>